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B190E" w14:textId="77777777" w:rsidR="00F1650D" w:rsidRDefault="00F1650D" w:rsidP="00F1650D">
      <w:pPr>
        <w:jc w:val="center"/>
        <w:rPr>
          <w:b/>
          <w:bCs/>
        </w:rPr>
      </w:pPr>
      <w:r w:rsidRPr="00F1650D">
        <w:rPr>
          <w:b/>
          <w:bCs/>
        </w:rPr>
        <w:t>Tájékoztatás rágcsálók megjelenése esetére</w:t>
      </w:r>
    </w:p>
    <w:p w14:paraId="329F117D" w14:textId="77777777" w:rsidR="00F1650D" w:rsidRPr="00F1650D" w:rsidRDefault="00F1650D" w:rsidP="00F1650D">
      <w:pPr>
        <w:jc w:val="center"/>
        <w:rPr>
          <w:b/>
          <w:bCs/>
        </w:rPr>
      </w:pPr>
    </w:p>
    <w:p w14:paraId="6EFD0B85" w14:textId="3BF97DD7" w:rsidR="00F1650D" w:rsidRPr="00F1650D" w:rsidRDefault="00F1650D" w:rsidP="00F1650D">
      <w:pPr>
        <w:jc w:val="both"/>
      </w:pPr>
      <w:r w:rsidRPr="00F1650D">
        <w:t xml:space="preserve">A Veszprém </w:t>
      </w:r>
      <w:r>
        <w:t>Várm</w:t>
      </w:r>
      <w:r w:rsidRPr="00F1650D">
        <w:t>egyei Kormányhivatal Balatonfüredi Járási Hivatala (továbbiakban: Járási Hivatal) népegészségügyi feladatkörében az alábbiakról tájékoztat:</w:t>
      </w:r>
    </w:p>
    <w:p w14:paraId="7CAFDA8F" w14:textId="77777777" w:rsidR="00F1650D" w:rsidRPr="00F1650D" w:rsidRDefault="00F1650D" w:rsidP="00F1650D">
      <w:pPr>
        <w:jc w:val="both"/>
      </w:pPr>
      <w:r w:rsidRPr="00F1650D">
        <w:t>A Járási Hivatalnál az utóbbi időben megnövekedett a patkányokkal kapcsolatos bejelentések száma. A bejelentők több esetben az önkormányzatoktól kapott tájékoztatás alapján fordulnak a Járási Hivatalhoz.</w:t>
      </w:r>
    </w:p>
    <w:p w14:paraId="016099DD" w14:textId="77777777" w:rsidR="00F1650D" w:rsidRPr="00F1650D" w:rsidRDefault="00F1650D" w:rsidP="00F1650D">
      <w:pPr>
        <w:jc w:val="both"/>
      </w:pPr>
      <w:r w:rsidRPr="00F1650D">
        <w:t>A fertőző betegségek és a járványok megelőzése érdekében szükséges járványügyi intézkedésekről szóló 18/1998.(VI.3.) NM rendelet szerint:</w:t>
      </w:r>
    </w:p>
    <w:p w14:paraId="71FB54C6" w14:textId="77777777" w:rsidR="00F1650D" w:rsidRPr="00F1650D" w:rsidRDefault="00F1650D" w:rsidP="00F1650D">
      <w:pPr>
        <w:numPr>
          <w:ilvl w:val="0"/>
          <w:numId w:val="1"/>
        </w:numPr>
        <w:jc w:val="both"/>
      </w:pPr>
      <w:r w:rsidRPr="00F1650D">
        <w:rPr>
          <w:i/>
          <w:iCs/>
        </w:rPr>
        <w:t>§ (1) A fertőző betegséget terjesztő vagy egyéb egészségügyi szempontból káros rovarok és egyéb ízeltlábúak (a továbbiakban: rovarok), valamint a rágcsálók és egyéb állati kártevők (a továbbiakban együtt: egészségügyi kártevők) megtelepedésének és elszaporodásának megakadályozásáról, ártalmuk megelőzéséről, távoltartásukról, rendszeres irtásukról (a továbbiakban együtt: védekezés) gondoskodni kell.</w:t>
      </w:r>
    </w:p>
    <w:p w14:paraId="51F0378D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 </w:t>
      </w:r>
      <w:r w:rsidRPr="00F1650D">
        <w:t>Az NM rendelet 4. számú melléklete tartalmazza az egészségügyi kártevők elleni védekezés részletes szabályait. E szerint:</w:t>
      </w:r>
    </w:p>
    <w:p w14:paraId="078FF8C3" w14:textId="77777777" w:rsidR="00F1650D" w:rsidRPr="00F1650D" w:rsidRDefault="00F1650D" w:rsidP="00F1650D">
      <w:pPr>
        <w:jc w:val="both"/>
      </w:pPr>
      <w:r w:rsidRPr="00F1650D">
        <w:t> </w:t>
      </w:r>
    </w:p>
    <w:p w14:paraId="394710D4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7.Rágcsálók</w:t>
      </w:r>
    </w:p>
    <w:p w14:paraId="765D737F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A rágcsálók megtelepedésének és elszaporodásának megelőzéséről</w:t>
      </w:r>
    </w:p>
    <w:p w14:paraId="7A24D136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a) az egészségügyi, gyermekvédelmi, szociális és oktatási intézményekben,</w:t>
      </w:r>
    </w:p>
    <w:p w14:paraId="717AEB0B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b) a települési szilárd hulladékot, illetve települési folyékony hulladékot ártalmatlanító telepeken és a csatornahálózatban,</w:t>
      </w:r>
    </w:p>
    <w:p w14:paraId="1397EA87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c) mezőgazdasági egységek épületeiben, az állattenyésztő és állattartó telepeken, lakott területen fenntartott istállókban, állatkertekben,</w:t>
      </w:r>
    </w:p>
    <w:p w14:paraId="460CF550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d) a szerves ipari nyersanyagokat (bőr, csont stb.) feldolgozó vállalatok üzemi területén,</w:t>
      </w:r>
    </w:p>
    <w:p w14:paraId="7A2BE7B5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e) romépületben, nagyobb épületbontások és építkezések területén,</w:t>
      </w:r>
    </w:p>
    <w:p w14:paraId="01650F4E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f) a folyó- és állóvizek, nyitott szennyvízlevezető árkok lakott területen fekvő patkányjárta partszegélyein,</w:t>
      </w:r>
    </w:p>
    <w:p w14:paraId="1D08E341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g) a folyami és tóparti kikötőkben, személy- és teherpályaudvarokon, autópálya pihenőkben, repülőtereken,</w:t>
      </w:r>
    </w:p>
    <w:p w14:paraId="7902E5C4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h) az élelmiszerek és italok előállítására, tárolására, szállítására szolgáló helyeken (üzemekben, üzletekben, raktárakban stb.),</w:t>
      </w:r>
    </w:p>
    <w:p w14:paraId="7F357B89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i) a vendéglátó-ipari és közétkeztetési egységekben,</w:t>
      </w:r>
    </w:p>
    <w:p w14:paraId="41D12B95" w14:textId="77777777" w:rsidR="00F1650D" w:rsidRPr="00F1650D" w:rsidRDefault="00F1650D" w:rsidP="00F1650D">
      <w:pPr>
        <w:numPr>
          <w:ilvl w:val="0"/>
          <w:numId w:val="2"/>
        </w:numPr>
        <w:jc w:val="both"/>
      </w:pPr>
      <w:r w:rsidRPr="00F1650D">
        <w:rPr>
          <w:i/>
          <w:iCs/>
        </w:rPr>
        <w:t>j) a piacokon és a vásárcsarnokokban</w:t>
      </w:r>
    </w:p>
    <w:p w14:paraId="1081D3DD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gondoskodni kell.</w:t>
      </w:r>
    </w:p>
    <w:p w14:paraId="5FA98BDE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lastRenderedPageBreak/>
        <w:t xml:space="preserve">Ennek érdekében az </w:t>
      </w:r>
      <w:proofErr w:type="gramStart"/>
      <w:r w:rsidRPr="00F1650D">
        <w:rPr>
          <w:i/>
          <w:iCs/>
        </w:rPr>
        <w:t>a)-</w:t>
      </w:r>
      <w:proofErr w:type="gramEnd"/>
      <w:r w:rsidRPr="00F1650D">
        <w:rPr>
          <w:i/>
          <w:iCs/>
        </w:rPr>
        <w:t>g) pontban feltüntetett helyeken </w:t>
      </w:r>
      <w:r w:rsidRPr="00F1650D">
        <w:rPr>
          <w:b/>
          <w:bCs/>
          <w:i/>
          <w:iCs/>
        </w:rPr>
        <w:t>évente legalább két alkalommal rágcsálóirtást kell végezni.</w:t>
      </w:r>
    </w:p>
    <w:p w14:paraId="0667A18A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 xml:space="preserve">A </w:t>
      </w:r>
      <w:proofErr w:type="gramStart"/>
      <w:r w:rsidRPr="00F1650D">
        <w:rPr>
          <w:i/>
          <w:iCs/>
        </w:rPr>
        <w:t>h)-</w:t>
      </w:r>
      <w:proofErr w:type="gramEnd"/>
      <w:r w:rsidRPr="00F1650D">
        <w:rPr>
          <w:i/>
          <w:iCs/>
        </w:rPr>
        <w:t>j) pontban felsorolt helyeken </w:t>
      </w:r>
      <w:r w:rsidRPr="00F1650D">
        <w:rPr>
          <w:b/>
          <w:bCs/>
          <w:i/>
          <w:iCs/>
        </w:rPr>
        <w:t>programban határozhatók meg a megelőzési, az ellenőrzési és az ellenőrzés során fertőzöttnek talált helyeken szükséges irtási feladatok, továbbá az előre tervezett munkavégzési időpontok.</w:t>
      </w:r>
      <w:r w:rsidRPr="00F1650D">
        <w:rPr>
          <w:i/>
          <w:iCs/>
        </w:rPr>
        <w:t> Program hiányában évenként legalább kétszer a fertőzöttségtől függetlenül irtószeres kezelést kell végezni.</w:t>
      </w:r>
    </w:p>
    <w:p w14:paraId="50ACCF19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 xml:space="preserve">A </w:t>
      </w:r>
      <w:proofErr w:type="gramStart"/>
      <w:r w:rsidRPr="00F1650D">
        <w:rPr>
          <w:i/>
          <w:iCs/>
        </w:rPr>
        <w:t>h)-</w:t>
      </w:r>
      <w:proofErr w:type="gramEnd"/>
      <w:r w:rsidRPr="00F1650D">
        <w:rPr>
          <w:i/>
          <w:iCs/>
        </w:rPr>
        <w:t>j) pontban felsorolt helyekre vonatkozóan </w:t>
      </w:r>
      <w:r w:rsidRPr="00F1650D">
        <w:rPr>
          <w:b/>
          <w:bCs/>
          <w:i/>
          <w:iCs/>
        </w:rPr>
        <w:t>a programot a külön jogszabály szerinti megfelelő szakképesítéssel rendelkező személynek kell elkészítenie és működtetnie.</w:t>
      </w:r>
    </w:p>
    <w:p w14:paraId="1091D31E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Folyamatos gócirtást kell elrendelni minden olyan helyen (esetben), ahol (amikor) a rágcsálók nagymérvű elszaporodása következtében a környezetet is veszélyeztető rágcsálógóc keletkezett.</w:t>
      </w:r>
    </w:p>
    <w:p w14:paraId="455CE1FE" w14:textId="77777777" w:rsidR="00F1650D" w:rsidRPr="00F1650D" w:rsidRDefault="00F1650D" w:rsidP="00F1650D">
      <w:pPr>
        <w:jc w:val="both"/>
      </w:pPr>
      <w:r w:rsidRPr="00F1650D">
        <w:rPr>
          <w:i/>
          <w:iCs/>
        </w:rPr>
        <w:t>Az illetékes járási hivatal előírása szerint gondoskodni kell a rágcsálók ártalmának megelőzéséről (életkörülményeik megnehezítéséről, búvó- és fészkelőhelyeik megszüntetéséről, közlekedési útjaik elzárásáról, táplálékuk megvonásáról stb.).</w:t>
      </w:r>
    </w:p>
    <w:p w14:paraId="17569AAD" w14:textId="77777777" w:rsidR="00F1650D" w:rsidRPr="00F1650D" w:rsidRDefault="00F1650D" w:rsidP="00F1650D">
      <w:pPr>
        <w:jc w:val="both"/>
      </w:pPr>
      <w:r w:rsidRPr="00F1650D">
        <w:t>A Nemzeti Népegészségügyi Központ 2019. május 24-én kiadott egy tájékoztatót </w:t>
      </w:r>
      <w:r w:rsidRPr="00F1650D">
        <w:rPr>
          <w:b/>
          <w:bCs/>
        </w:rPr>
        <w:t>„Kérdezz-felelek” a rágcsálók ártalmáról és az ellenük való védekezés lehetőségeiről </w:t>
      </w:r>
      <w:r w:rsidRPr="00F1650D">
        <w:t>címmel. E kiadvány a megelőzésben és a rágcsálóirtás módszereiben nyújt segítséget.</w:t>
      </w:r>
    </w:p>
    <w:p w14:paraId="7078AAAC" w14:textId="77777777" w:rsidR="00F1650D" w:rsidRPr="00F1650D" w:rsidRDefault="00F1650D" w:rsidP="00F1650D">
      <w:pPr>
        <w:jc w:val="both"/>
      </w:pPr>
      <w:r w:rsidRPr="00F1650D">
        <w:t>A tájékoztató 6. és 7. pontjában a rágcsálók elszaporodásának megelőzésre és az ellenük való védekezésre találhatók megbízható módszerek.</w:t>
      </w:r>
    </w:p>
    <w:p w14:paraId="603881CB" w14:textId="77777777" w:rsidR="00F1650D" w:rsidRPr="00F1650D" w:rsidRDefault="00F1650D" w:rsidP="00F1650D">
      <w:pPr>
        <w:jc w:val="both"/>
      </w:pPr>
      <w:r w:rsidRPr="00F1650D">
        <w:t>A tájékoztató 11. pontja részletesen leírja, kinek a kötelessége a rágcsálók elleni védekezés. E szerint magánterületen az adott terület tulajdonososának kell gondoskodnia a rágcsálók irtásáról, ha szükséges, szakember igénybevételével.</w:t>
      </w:r>
    </w:p>
    <w:p w14:paraId="72D82594" w14:textId="77777777" w:rsidR="00F1650D" w:rsidRPr="00F1650D" w:rsidRDefault="00F1650D" w:rsidP="00F1650D">
      <w:pPr>
        <w:jc w:val="both"/>
      </w:pPr>
      <w:r w:rsidRPr="00F1650D">
        <w:t>Közterületen a közterület kezelőjének, vagyis az önkormányzatnak a feladata a rágcsálók irtása.</w:t>
      </w:r>
    </w:p>
    <w:p w14:paraId="6926A0FD" w14:textId="77777777" w:rsidR="00F1650D" w:rsidRPr="00F1650D" w:rsidRDefault="00F1650D" w:rsidP="00F1650D">
      <w:pPr>
        <w:jc w:val="both"/>
      </w:pPr>
      <w:r w:rsidRPr="00F1650D">
        <w:t>Amennyiben bejelentés érkezik az önkormányzathoz, hogy adott területen patkányt észleltek, amennyiben az önkormányzat tudja, köteles biztosítani a patkányirtást az érintett ingatlanon. Amennyiben erre nincs lehetőség, informálni kell a lakosságot a megelőző és védekező lehetőségekről a mellékelt tájékoztató tekintetében.</w:t>
      </w:r>
    </w:p>
    <w:p w14:paraId="09FAFE6D" w14:textId="77777777" w:rsidR="00F1650D" w:rsidRDefault="00F1650D" w:rsidP="00F1650D">
      <w:pPr>
        <w:jc w:val="both"/>
      </w:pPr>
      <w:r w:rsidRPr="00F1650D">
        <w:rPr>
          <w:b/>
          <w:bCs/>
        </w:rPr>
        <w:t>Letölthető dokumentum</w:t>
      </w:r>
      <w:r w:rsidRPr="00F1650D">
        <w:t>:</w:t>
      </w:r>
    </w:p>
    <w:p w14:paraId="606B2D4F" w14:textId="1170F16E" w:rsidR="00260F01" w:rsidRPr="00F1650D" w:rsidRDefault="00F1650D">
      <w:pPr>
        <w:rPr>
          <w:sz w:val="16"/>
          <w:szCs w:val="16"/>
        </w:rPr>
      </w:pPr>
      <w:hyperlink r:id="rId5" w:history="1">
        <w:r w:rsidRPr="00F1650D">
          <w:rPr>
            <w:rFonts w:ascii="Open Sans" w:hAnsi="Open Sans" w:cs="Open Sans"/>
            <w:sz w:val="18"/>
            <w:szCs w:val="18"/>
            <w:shd w:val="clear" w:color="auto" w:fill="FFFFFF"/>
          </w:rPr>
          <w:t>Kérdezz felelek a rágcsálókról es a fővárosi patkányírtásról</w:t>
        </w:r>
      </w:hyperlink>
    </w:p>
    <w:sectPr w:rsidR="00260F01" w:rsidRPr="00F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2D7A"/>
    <w:multiLevelType w:val="multilevel"/>
    <w:tmpl w:val="BD16848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63706"/>
    <w:multiLevelType w:val="multilevel"/>
    <w:tmpl w:val="3A22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756731">
    <w:abstractNumId w:val="0"/>
  </w:num>
  <w:num w:numId="2" w16cid:durableId="154186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0D"/>
    <w:rsid w:val="00260F01"/>
    <w:rsid w:val="007D6998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357F"/>
  <w15:chartTrackingRefBased/>
  <w15:docId w15:val="{DCC7C438-5035-4C69-AD0F-BF14F238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650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662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09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atonkenese.hu/wp-content/uploads/2019/11/Kerdezz_felelek_a_ragcsalokrol_es_a_fovarosi_patkanyirtasrol_201905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3850</Characters>
  <Application>Microsoft Office Word</Application>
  <DocSecurity>0</DocSecurity>
  <Lines>32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Balatonkenese Kultúra Háza</dc:creator>
  <cp:keywords/>
  <dc:description/>
  <cp:lastModifiedBy>Balatonkenese Kultúra Háza</cp:lastModifiedBy>
  <cp:revision>1</cp:revision>
  <dcterms:created xsi:type="dcterms:W3CDTF">2024-08-07T08:57:00Z</dcterms:created>
  <dcterms:modified xsi:type="dcterms:W3CDTF">2024-08-07T09:00:00Z</dcterms:modified>
</cp:coreProperties>
</file>